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20714" w14:textId="22FAE84D" w:rsidR="00C17D40" w:rsidRDefault="00964CAD">
      <w:r>
        <w:t>15 septembre</w:t>
      </w:r>
    </w:p>
    <w:p w14:paraId="0EAE981C" w14:textId="5B0E1E3F" w:rsidR="00964CAD" w:rsidRDefault="00964CAD"/>
    <w:p w14:paraId="47AB39F1" w14:textId="0D26617D" w:rsidR="00964CAD" w:rsidRDefault="00964CAD">
      <w:r>
        <w:t>Jour probable de naissance d’</w:t>
      </w:r>
      <w:proofErr w:type="spellStart"/>
      <w:r>
        <w:t>Al-Biruni</w:t>
      </w:r>
      <w:proofErr w:type="spellEnd"/>
    </w:p>
    <w:p w14:paraId="2C133552" w14:textId="77F151F8" w:rsidR="00964CAD" w:rsidRDefault="00964CAD"/>
    <w:p w14:paraId="7FE2865C" w14:textId="303E6B08" w:rsidR="00964CAD" w:rsidRDefault="00964CAD">
      <w:r>
        <w:rPr>
          <w:noProof/>
        </w:rPr>
        <w:drawing>
          <wp:anchor distT="0" distB="0" distL="114300" distR="114300" simplePos="0" relativeHeight="251658240" behindDoc="0" locked="0" layoutInCell="1" allowOverlap="1" wp14:anchorId="75F7F9FC" wp14:editId="5E0CE873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80260" cy="2735580"/>
            <wp:effectExtent l="0" t="0" r="0" b="762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6" w:history="1">
        <w:proofErr w:type="spellStart"/>
        <w:r w:rsidRPr="00964CAD">
          <w:rPr>
            <w:rStyle w:val="Lienhypertexte"/>
            <w:b/>
            <w:bCs/>
          </w:rPr>
          <w:t>Al-Bīrūnī</w:t>
        </w:r>
        <w:proofErr w:type="spellEnd"/>
        <w:r w:rsidRPr="00964CAD">
          <w:rPr>
            <w:rStyle w:val="Lienhypertexte"/>
            <w:b/>
            <w:bCs/>
          </w:rPr>
          <w:t xml:space="preserve">, </w:t>
        </w:r>
        <w:proofErr w:type="spellStart"/>
        <w:r w:rsidRPr="00964CAD">
          <w:rPr>
            <w:rStyle w:val="Lienhypertexte"/>
            <w:b/>
            <w:bCs/>
          </w:rPr>
          <w:t>Afzal</w:t>
        </w:r>
        <w:proofErr w:type="spellEnd"/>
        <w:r w:rsidRPr="00964CAD">
          <w:rPr>
            <w:rStyle w:val="Lienhypertexte"/>
            <w:b/>
            <w:bCs/>
          </w:rPr>
          <w:t xml:space="preserve"> </w:t>
        </w:r>
        <w:proofErr w:type="spellStart"/>
        <w:r w:rsidRPr="00964CAD">
          <w:rPr>
            <w:rStyle w:val="Lienhypertexte"/>
            <w:b/>
            <w:bCs/>
          </w:rPr>
          <w:t>Muḥammad</w:t>
        </w:r>
        <w:proofErr w:type="spellEnd"/>
        <w:r w:rsidRPr="00964CAD">
          <w:rPr>
            <w:rStyle w:val="Lienhypertexte"/>
            <w:b/>
            <w:bCs/>
          </w:rPr>
          <w:t xml:space="preserve"> ibn </w:t>
        </w:r>
        <w:proofErr w:type="spellStart"/>
        <w:r w:rsidRPr="00964CAD">
          <w:rPr>
            <w:rStyle w:val="Lienhypertexte"/>
            <w:b/>
            <w:bCs/>
          </w:rPr>
          <w:t>Aḥmad</w:t>
        </w:r>
        <w:proofErr w:type="spellEnd"/>
        <w:r w:rsidRPr="00964CAD">
          <w:rPr>
            <w:rStyle w:val="Lienhypertexte"/>
            <w:b/>
            <w:bCs/>
          </w:rPr>
          <w:t xml:space="preserve"> Abū al-</w:t>
        </w:r>
        <w:proofErr w:type="spellStart"/>
        <w:r w:rsidRPr="00964CAD">
          <w:rPr>
            <w:rStyle w:val="Lienhypertexte"/>
            <w:b/>
            <w:bCs/>
          </w:rPr>
          <w:t>Reḥān</w:t>
        </w:r>
        <w:proofErr w:type="spellEnd"/>
      </w:hyperlink>
      <w:r>
        <w:t xml:space="preserve"> (né le 4</w:t>
      </w:r>
      <w:r>
        <w:t xml:space="preserve"> </w:t>
      </w:r>
      <w:r>
        <w:t xml:space="preserve">ou le 15 </w:t>
      </w:r>
      <w:r w:rsidRPr="00964CAD">
        <w:t>septembre 973</w:t>
      </w:r>
      <w:r>
        <w:t xml:space="preserve"> à </w:t>
      </w:r>
      <w:proofErr w:type="spellStart"/>
      <w:r w:rsidRPr="00964CAD">
        <w:t>Kath</w:t>
      </w:r>
      <w:proofErr w:type="spellEnd"/>
      <w:r>
        <w:t xml:space="preserve">, </w:t>
      </w:r>
      <w:proofErr w:type="spellStart"/>
      <w:r w:rsidRPr="00964CAD">
        <w:t>Khwarezm</w:t>
      </w:r>
      <w:proofErr w:type="spellEnd"/>
      <w:r>
        <w:t xml:space="preserve">, </w:t>
      </w:r>
      <w:r w:rsidRPr="00964CAD">
        <w:t>Grand Iran</w:t>
      </w:r>
      <w:r>
        <w:t xml:space="preserve"> — ville de l'actuel </w:t>
      </w:r>
      <w:r w:rsidRPr="00964CAD">
        <w:t>Ouzbékistan</w:t>
      </w:r>
      <w:r>
        <w:t xml:space="preserve">, mort le </w:t>
      </w:r>
      <w:r w:rsidRPr="00964CAD">
        <w:t>13 décembre</w:t>
      </w:r>
      <w:r>
        <w:t xml:space="preserve"> </w:t>
      </w:r>
      <w:r w:rsidRPr="00964CAD">
        <w:t>1048</w:t>
      </w:r>
      <w:r>
        <w:t xml:space="preserve"> ou vers </w:t>
      </w:r>
      <w:r w:rsidRPr="00964CAD">
        <w:t>1052</w:t>
      </w:r>
      <w:r>
        <w:t xml:space="preserve"> à </w:t>
      </w:r>
      <w:r w:rsidRPr="00964CAD">
        <w:t>Ghazni</w:t>
      </w:r>
      <w:r>
        <w:t xml:space="preserve">) est un </w:t>
      </w:r>
      <w:r w:rsidRPr="00964CAD">
        <w:t>érudit</w:t>
      </w:r>
      <w:r>
        <w:t xml:space="preserve"> </w:t>
      </w:r>
      <w:r w:rsidRPr="00964CAD">
        <w:t>persan</w:t>
      </w:r>
      <w:r>
        <w:t xml:space="preserve">. </w:t>
      </w:r>
      <w:r w:rsidRPr="00964CAD">
        <w:t>Mathématicien</w:t>
      </w:r>
      <w:r>
        <w:t xml:space="preserve">, </w:t>
      </w:r>
      <w:r w:rsidRPr="00964CAD">
        <w:t>astronome</w:t>
      </w:r>
      <w:r>
        <w:t xml:space="preserve">, </w:t>
      </w:r>
      <w:r w:rsidRPr="00964CAD">
        <w:t>physicien</w:t>
      </w:r>
      <w:r>
        <w:t xml:space="preserve">, </w:t>
      </w:r>
      <w:r w:rsidRPr="00964CAD">
        <w:t>encyclopédiste</w:t>
      </w:r>
      <w:r>
        <w:t xml:space="preserve">, </w:t>
      </w:r>
      <w:r w:rsidRPr="00964CAD">
        <w:t>philosophe</w:t>
      </w:r>
      <w:r>
        <w:t xml:space="preserve">, </w:t>
      </w:r>
      <w:r w:rsidRPr="00964CAD">
        <w:t>astrologue</w:t>
      </w:r>
      <w:r>
        <w:t xml:space="preserve">, voyageur, </w:t>
      </w:r>
      <w:r w:rsidRPr="00964CAD">
        <w:t>historien</w:t>
      </w:r>
      <w:r>
        <w:t xml:space="preserve">, </w:t>
      </w:r>
      <w:r w:rsidRPr="00964CAD">
        <w:t>pharmacologue</w:t>
      </w:r>
      <w:r>
        <w:t xml:space="preserve"> et </w:t>
      </w:r>
      <w:r w:rsidRPr="00964CAD">
        <w:t>précepteur</w:t>
      </w:r>
      <w:r>
        <w:t xml:space="preserve">, il contribua grandement aux domaines des </w:t>
      </w:r>
      <w:r w:rsidRPr="00964CAD">
        <w:t>mathématiques</w:t>
      </w:r>
      <w:r>
        <w:t xml:space="preserve">, </w:t>
      </w:r>
      <w:r w:rsidRPr="00964CAD">
        <w:t>philosophie</w:t>
      </w:r>
      <w:r>
        <w:t xml:space="preserve">, </w:t>
      </w:r>
      <w:r w:rsidRPr="00964CAD">
        <w:t>médecine</w:t>
      </w:r>
      <w:r>
        <w:t xml:space="preserve"> et des </w:t>
      </w:r>
      <w:r w:rsidRPr="00964CAD">
        <w:t>sciences</w:t>
      </w:r>
      <w:r>
        <w:t xml:space="preserve">. Il est connu pour avoir étudié la thèse de la </w:t>
      </w:r>
      <w:r w:rsidRPr="00964CAD">
        <w:t>rotation de la Terre</w:t>
      </w:r>
      <w:r>
        <w:t xml:space="preserve"> autour de son </w:t>
      </w:r>
      <w:r w:rsidRPr="00964CAD">
        <w:t>axe</w:t>
      </w:r>
      <w:r>
        <w:t xml:space="preserve"> et sa révolution autour du </w:t>
      </w:r>
      <w:r w:rsidRPr="00964CAD">
        <w:t>Soleil</w:t>
      </w:r>
      <w:r>
        <w:t>.</w:t>
      </w:r>
      <w:r w:rsidRPr="00964CAD">
        <w:t xml:space="preserve"> </w:t>
      </w:r>
    </w:p>
    <w:p w14:paraId="659CD0EB" w14:textId="4C07BE5B" w:rsidR="00964CAD" w:rsidRDefault="00964CAD"/>
    <w:p w14:paraId="601E93FB" w14:textId="101FE5BE" w:rsidR="00964CAD" w:rsidRDefault="00964CAD"/>
    <w:p w14:paraId="32BD7088" w14:textId="2892E853" w:rsidR="00964CAD" w:rsidRDefault="00964CAD"/>
    <w:p w14:paraId="26E7869B" w14:textId="1B23A29B" w:rsidR="00964CAD" w:rsidRDefault="00964CAD"/>
    <w:p w14:paraId="4121D3EC" w14:textId="49CBE6BE" w:rsidR="00964CAD" w:rsidRDefault="00964CAD"/>
    <w:p w14:paraId="2E5FD0FB" w14:textId="2CE0EB60" w:rsidR="00964CAD" w:rsidRDefault="00964CAD"/>
    <w:p w14:paraId="45C5B4C2" w14:textId="1B878DB5" w:rsidR="00964CAD" w:rsidRPr="00964CAD" w:rsidRDefault="00964CAD" w:rsidP="00964CAD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r w:rsidRPr="00964CAD">
        <w:rPr>
          <w:rFonts w:ascii="Times New Roman" w:eastAsia="Times New Roman" w:hAnsi="Times New Roman" w:cs="Times New Roman"/>
          <w:lang w:eastAsia="fr-FR"/>
        </w:rPr>
        <w:t xml:space="preserve">Ses contributions aux mathématiques ont concerné les domaines suivants : </w:t>
      </w:r>
    </w:p>
    <w:p w14:paraId="4CB43F3B" w14:textId="464EDAA1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l'arithmétique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théorique et pratique,</w:t>
      </w:r>
    </w:p>
    <w:p w14:paraId="39EAA296" w14:textId="0725F12E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la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</w:t>
      </w:r>
      <w:r w:rsidRPr="00964CAD">
        <w:rPr>
          <w:rFonts w:ascii="Times New Roman" w:eastAsia="Times New Roman" w:hAnsi="Times New Roman" w:cs="Times New Roman"/>
          <w:i/>
          <w:iCs/>
          <w:lang w:eastAsia="fr-FR"/>
        </w:rPr>
        <w:t>sommation</w:t>
      </w:r>
      <w:r w:rsidRPr="00964CAD">
        <w:rPr>
          <w:rFonts w:ascii="Times New Roman" w:eastAsia="Times New Roman" w:hAnsi="Times New Roman" w:cs="Times New Roman"/>
          <w:lang w:eastAsia="fr-FR"/>
        </w:rPr>
        <w:t xml:space="preserve"> des séries,</w:t>
      </w:r>
    </w:p>
    <w:p w14:paraId="796C1A66" w14:textId="499BC70C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l'analyse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combinatoire,</w:t>
      </w:r>
    </w:p>
    <w:p w14:paraId="433DA6F4" w14:textId="63111A04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la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règle de trois,</w:t>
      </w:r>
    </w:p>
    <w:p w14:paraId="2F3AA7B2" w14:textId="3EC2E7DD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l'étude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des nombres irrationnels mis en évidence par les Grecs,</w:t>
      </w:r>
    </w:p>
    <w:p w14:paraId="78403552" w14:textId="523293C7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la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théorie des rapports,</w:t>
      </w:r>
    </w:p>
    <w:p w14:paraId="524A8CF0" w14:textId="5F8CEC09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les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définitions algébriques,</w:t>
      </w:r>
    </w:p>
    <w:p w14:paraId="110DC0A9" w14:textId="77777777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une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méthode pour résoudre les équations algébriques,</w:t>
      </w:r>
    </w:p>
    <w:p w14:paraId="57A4D555" w14:textId="3033C542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la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géométrie,</w:t>
      </w:r>
    </w:p>
    <w:p w14:paraId="6998F1B9" w14:textId="16E86D35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les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théorèmes d'Archimède,</w:t>
      </w:r>
    </w:p>
    <w:p w14:paraId="2B7E29DD" w14:textId="5B0162B9" w:rsidR="00964CAD" w:rsidRPr="00964CAD" w:rsidRDefault="00964CAD" w:rsidP="00964CA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964CAD">
        <w:rPr>
          <w:rFonts w:ascii="Times New Roman" w:eastAsia="Times New Roman" w:hAnsi="Times New Roman" w:cs="Times New Roman"/>
          <w:lang w:eastAsia="fr-FR"/>
        </w:rPr>
        <w:t>la</w:t>
      </w:r>
      <w:proofErr w:type="gramEnd"/>
      <w:r w:rsidRPr="00964CAD">
        <w:rPr>
          <w:rFonts w:ascii="Times New Roman" w:eastAsia="Times New Roman" w:hAnsi="Times New Roman" w:cs="Times New Roman"/>
          <w:lang w:eastAsia="fr-FR"/>
        </w:rPr>
        <w:t xml:space="preserve"> trisection de l'angle et son impossibilité pressentie.</w:t>
      </w:r>
    </w:p>
    <w:p w14:paraId="4BB29293" w14:textId="77777777" w:rsidR="00964CAD" w:rsidRDefault="00964CAD"/>
    <w:sectPr w:rsidR="00964CAD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C71B85"/>
    <w:multiLevelType w:val="multilevel"/>
    <w:tmpl w:val="D16A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CAD"/>
    <w:rsid w:val="00232F19"/>
    <w:rsid w:val="00287E6C"/>
    <w:rsid w:val="00964CAD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D30C"/>
  <w15:chartTrackingRefBased/>
  <w15:docId w15:val="{E05C0105-B02E-4D29-A6A0-4D7B5652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64CAD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64C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64CA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Al-Birun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2020-12-29T16:46:00Z</dcterms:created>
  <dcterms:modified xsi:type="dcterms:W3CDTF">2020-12-29T16:50:00Z</dcterms:modified>
</cp:coreProperties>
</file>